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872edaba85064a8f">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Yarra Hills Secondary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3D</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Photography</w:t>
            </w:r>
          </w:p>
        </w:tc>
        <w:tc>
          <w:tcPr>
            <w:tcW w:w="5%" w:type="pct"/>
          </w:tcPr>
          <w:p>
            <w:r>
              <w:t/>
            </w:r>
          </w:p>
        </w:tc>
      </w:tr>
      <w:tr w:rsidR="00BF41BF" w:rsidTr="00DE168B">
        <w:tc>
          <w:tcPr>
            <w:tcW w:w="80%" w:type="pct"/>
          </w:tcPr>
          <w:p>
            <w:r>
              <w:rPr>
                <w:sz w:val="22"/>
                <w:rFonts w:ascii="Calibri"/>
              </w:rPr>
              <w:t>16GB SD HC MEMORY CARD </w:t>
            </w:r>
          </w:p>
        </w:tc>
        <w:tc>
          <w:tcPr>
            <w:tcW w:w="20%" w:type="pct"/>
          </w:tcPr>
          <w:p>
            <w:pPr>
              <w:jc w:val="right"/>
            </w:pPr>
            <w:r>
              <w:rPr>
                <w:sz w:val="22"/>
                <w:rFonts w:ascii="Calibri"/>
              </w:rPr>
              <w:t>$9.95</w:t>
            </w:r>
          </w:p>
        </w:tc>
      </w:tr>
      <w:tr w:rsidR="00BF41BF" w:rsidTr="00DE168B">
        <w:tc>
          <w:tcPr>
            <w:tcW w:w="80%" w:type="pct"/>
          </w:tcPr>
          <w:p>
            <w:r>
              <w:rPr>
                <w:sz w:val="22"/>
                <w:rFonts w:ascii="Calibri"/>
              </w:rPr>
              <w:t>64 PAGE A4 BINDER BOOK (Media)</w:t>
            </w:r>
          </w:p>
        </w:tc>
        <w:tc>
          <w:tcPr>
            <w:tcW w:w="20%" w:type="pct"/>
          </w:tcPr>
          <w:p>
            <w:pPr>
              <w:jc w:val="right"/>
            </w:pPr>
            <w:r>
              <w:rPr>
                <w:sz w:val="22"/>
                <w:rFonts w:ascii="Calibri"/>
              </w:rPr>
              <w:t>$0.95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A4 VISUAL DIARY 120 PAGE 110GSM (Media)</w:t>
            </w:r>
          </w:p>
        </w:tc>
        <w:tc>
          <w:tcPr>
            <w:tcW w:w="20%" w:type="pct"/>
          </w:tcPr>
          <w:p>
            <w:pPr>
              <w:jc w:val="right"/>
            </w:pPr>
            <w:r>
              <w:rPr>
                <w:sz w:val="22"/>
                <w:rFonts w:ascii="Calibri"/>
              </w:rPr>
              <w:t>$4.95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Law And You</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2D</w:t>
            </w:r>
          </w:p>
        </w:tc>
        <w:tc>
          <w:tcPr>
            <w:tcW w:w="5%" w:type="pct"/>
          </w:tcPr>
          <w:p>
            <w:r>
              <w:t/>
            </w:r>
          </w:p>
        </w:tc>
      </w:tr>
      <w:tr w:rsidR="00BF41BF" w:rsidTr="00DE168B">
        <w:tc>
          <w:tcPr>
            <w:tcW w:w="95%" w:type="pct"/>
          </w:tcPr>
          <w:p>
            <w:r>
              <w:rPr>
                <w:sz w:val="22"/>
                <w:rFonts w:ascii="Calibri"/>
              </w:rPr>
              <w:t>No text required - see stationery requirements.</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3D</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Animal Studies Elective</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Archimedes In Action: Mathematical Thinking</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192 PAGE EXERCISE BOOK 225 X 175MM </w:t>
            </w:r>
          </w:p>
        </w:tc>
        <w:tc>
          <w:tcPr>
            <w:tcW w:w="20%" w:type="pct"/>
          </w:tcPr>
          <w:p>
            <w:pPr>
              <w:jc w:val="right"/>
            </w:pPr>
            <w:r>
              <w:rPr>
                <w:sz w:val="22"/>
                <w:rFonts w:ascii="Calibri"/>
              </w:rPr>
              <w:t>$2.75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Creative Photography</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 Acting For The Stage</w:t>
            </w:r>
          </w:p>
        </w:tc>
        <w:tc>
          <w:tcPr>
            <w:tcW w:w="5%" w:type="pct"/>
          </w:tcPr>
          <w:p>
            <w:r>
              <w:t/>
            </w:r>
          </w:p>
        </w:tc>
      </w:tr>
      <w:tr w:rsidR="00BF41BF" w:rsidTr="00DE168B">
        <w:tc>
          <w:tcPr>
            <w:tcW w:w="80%" w:type="pct"/>
          </w:tcPr>
          <w:p>
            <w:r>
              <w:rPr>
                <w:sz w:val="22"/>
                <w:rFonts w:ascii="Calibri"/>
              </w:rPr>
              <w:t>96 PAGE A4 BINDER BOOK</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Drivers Education</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NEW CAMBRIDGE SHAKESPEARE: ROMEO AND JULIET 3E</w:t>
            </w:r>
          </w:p>
        </w:tc>
        <w:tc>
          <w:tcPr>
            <w:tcW w:w="20%" w:type="pct"/>
          </w:tcPr>
          <w:p>
            <w:pPr>
              <w:jc w:val="right"/>
            </w:pPr>
            <w:r>
              <w:rPr>
                <w:sz w:val="22"/>
                <w:rFonts w:ascii="Calibri"/>
              </w:rPr>
              <w:t>$19.95</w:t>
            </w:r>
          </w:p>
        </w:tc>
      </w:tr>
      <w:tr w:rsidR="00BF41BF" w:rsidTr="00DE168B">
        <w:tc>
          <w:tcPr>
            <w:tcW w:w="80%" w:type="pct"/>
          </w:tcPr>
          <w:p>
            <w:r>
              <w:rPr>
                <w:sz w:val="22"/>
                <w:rFonts w:ascii="Calibri"/>
              </w:rPr>
              <w:t>MACQUARIE POCKET DICTIONARY 5E + BONUS MACQUARIE POCKET THESAURUS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DOCUMENT WALLET FC SLIMPICK BUFF</w:t>
            </w:r>
          </w:p>
        </w:tc>
        <w:tc>
          <w:tcPr>
            <w:tcW w:w="20%" w:type="pct"/>
          </w:tcPr>
          <w:p>
            <w:pPr>
              <w:jc w:val="right"/>
            </w:pPr>
            <w:r>
              <w:rPr>
                <w:sz w:val="22"/>
                <w:rFonts w:ascii="Calibri"/>
              </w:rPr>
              <w:t>$0.90</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Technology Subjects</w:t>
            </w:r>
          </w:p>
        </w:tc>
        <w:tc>
          <w:tcPr>
            <w:tcW w:w="5%" w:type="pct"/>
          </w:tcPr>
          <w:p>
            <w:r>
              <w:t/>
            </w:r>
          </w:p>
        </w:tc>
      </w:tr>
      <w:tr w:rsidR="00BF41BF" w:rsidTr="00DE168B">
        <w:tc>
          <w:tcPr>
            <w:tcW w:w="95%" w:type="pct"/>
          </w:tcPr>
          <w:p>
            <w:r>
              <w:rPr>
                <w:sz w:val="22"/>
                <w:rFonts w:ascii="Calibri"/>
              </w:rPr>
              <w:t>Students may bring an apron from home or purchase the apron below.</w:t>
            </w:r>
          </w:p>
        </w:tc>
        <w:tc>
          <w:tcPr>
            <w:tcW w:w="5%" w:type="pct"/>
          </w:tcPr>
          <w:p>
            <w:r>
              <w:t/>
            </w:r>
          </w:p>
        </w:tc>
      </w:tr>
      <w:tr w:rsidR="00BF41BF" w:rsidTr="00DE168B">
        <w:tc>
          <w:tcPr>
            <w:tcW w:w="80%" w:type="pct"/>
          </w:tcPr>
          <w:p>
            <w:r>
              <w:rPr>
                <w:sz w:val="22"/>
                <w:rFonts w:ascii="Calibri"/>
              </w:rPr>
              <w:t>ART APRON BLUE WITH POCKETS</w:t>
            </w:r>
          </w:p>
        </w:tc>
        <w:tc>
          <w:tcPr>
            <w:tcW w:w="20%" w:type="pct"/>
          </w:tcPr>
          <w:p>
            <w:pPr>
              <w:jc w:val="right"/>
            </w:pPr>
            <w:r>
              <w:rPr>
                <w:sz w:val="22"/>
                <w:rFonts w:ascii="Calibri"/>
              </w:rPr>
              <w:t>$22.95</w:t>
            </w:r>
          </w:p>
        </w:tc>
      </w:tr>
      <w:tr w:rsidR="00BF41BF" w:rsidTr="00DE168B">
        <w:tc>
          <w:tcPr>
            <w:tcW w:w="95%" w:type="pct"/>
          </w:tcPr>
          <w:p>
            <w:r>
              <w:rPr>
                <w:sz w:val="22"/>
                <w:rFonts w:ascii="Calibri"/>
              </w:rPr>
              <w:t>1 L sealable container (purchase privately)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Forensic Elective</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Global Health</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Education</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MATILDA GOOD HUMANITIES 10 VIC STUDENT BOOK + EBOOK 2E (Textbook + eBook) (NEW EDITION FOR 2026)</w:t>
            </w:r>
          </w:p>
        </w:tc>
        <w:tc>
          <w:tcPr>
            <w:tcW w:w="20%" w:type="pct"/>
          </w:tcPr>
          <w:p>
            <w:pPr>
              <w:jc w:val="right"/>
            </w:pPr>
            <w:r>
              <w:rPr>
                <w:sz w:val="22"/>
                <w:rFonts w:ascii="Calibri"/>
              </w:rPr>
              <w:t>$72.00</w:t>
            </w:r>
          </w:p>
        </w:tc>
      </w:tr>
      <w:tr w:rsidR="00BF41BF" w:rsidTr="00DE168B">
        <w:tc>
          <w:tcPr>
            <w:tcW w:w="80%" w:type="pct"/>
          </w:tcPr>
          <w:p>
            <w:pPr>
              <w:ind w:left="360"/>
            </w:pPr>
            <w:r>
              <w:rPr>
                <w:sz w:val="22"/>
                <w:rFonts w:ascii="Calibri"/>
              </w:rPr>
              <w:t>MATILDA GOOD HUMANITIES 10 VIC STUDENT EBOOK 2E (eBook only) (NEW EDITION FOR 2026)</w:t>
            </w:r>
          </w:p>
        </w:tc>
        <w:tc>
          <w:tcPr>
            <w:tcW w:w="20%" w:type="pct"/>
          </w:tcPr>
          <w:p>
            <w:pPr>
              <w:jc w:val="right"/>
            </w:pPr>
            <w:r>
              <w:rPr>
                <w:sz w:val="22"/>
                <w:rFonts w:ascii="Calibri"/>
              </w:rPr>
              <w:t>$30.00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Information Technology</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WORKBOOK + EBOOK</w:t>
            </w:r>
          </w:p>
        </w:tc>
        <w:tc>
          <w:tcPr>
            <w:tcW w:w="20%" w:type="pct"/>
          </w:tcPr>
          <w:p>
            <w:pPr>
              <w:jc w:val="right"/>
            </w:pPr>
            <w:r>
              <w:rPr>
                <w:sz w:val="22"/>
                <w:rFonts w:ascii="Calibri"/>
              </w:rPr>
              <w:t>$49.95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Life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CASIO FX82AU PLUS II CALCULATOR 2ND EDITION (Retain from previous year)</w:t>
            </w:r>
          </w:p>
        </w:tc>
        <w:tc>
          <w:tcPr>
            <w:tcW w:w="20%" w:type="pct"/>
          </w:tcPr>
          <w:p>
            <w:pPr>
              <w:jc w:val="right"/>
            </w:pPr>
            <w:r>
              <w:rPr>
                <w:sz w:val="22"/>
                <w:rFonts w:ascii="Calibri"/>
              </w:rPr>
              <w:t>$43.95</w:t>
            </w:r>
          </w:p>
        </w:tc>
      </w:tr>
      <w:tr w:rsidR="00BF41BF" w:rsidTr="00DE168B">
        <w:tc>
          <w:tcPr>
            <w:tcW w:w="80%" w:type="pct"/>
          </w:tcPr>
          <w:p>
            <w:r>
              <w:rPr>
                <w:sz w:val="22"/>
                <w:rFonts w:ascii="Calibri"/>
              </w:rPr>
              <w:t>MATHOMAT VERSION 2 GEOMETRY WITH 28 PAGE MANUAL (Retain from previous year)</w:t>
            </w:r>
          </w:p>
        </w:tc>
        <w:tc>
          <w:tcPr>
            <w:tcW w:w="20%" w:type="pct"/>
          </w:tcPr>
          <w:p>
            <w:pPr>
              <w:jc w:val="right"/>
            </w:pPr>
            <w:r>
              <w:rPr>
                <w:sz w:val="22"/>
                <w:rFonts w:ascii="Calibri"/>
              </w:rPr>
              <w:t>$16.95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3 128 PAGE EXERCISE BOOK 225 x 175MM 8MM RULED</w:t>
            </w:r>
          </w:p>
        </w:tc>
        <w:tc>
          <w:tcPr>
            <w:tcW w:w="20%" w:type="pct"/>
          </w:tcPr>
          <w:p>
            <w:pPr>
              <w:jc w:val="right"/>
            </w:pPr>
            <w:r>
              <w:rPr>
                <w:sz w:val="22"/>
                <w:rFonts w:ascii="Calibri"/>
              </w:rPr>
              <w:t>$4.80</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80%" w:type="pct"/>
          </w:tcPr>
          <w:p>
            <w:r>
              <w:rPr>
                <w:sz w:val="22"/>
                <w:rFonts w:ascii="Calibri"/>
              </w:rPr>
              <w:t>SCISSORS LARGE 165MM QSV (Retain from previous year)</w:t>
            </w:r>
          </w:p>
        </w:tc>
        <w:tc>
          <w:tcPr>
            <w:tcW w:w="20%" w:type="pct"/>
          </w:tcPr>
          <w:p>
            <w:pPr>
              <w:jc w:val="right"/>
            </w:pPr>
            <w:r>
              <w:rPr>
                <w:sz w:val="22"/>
                <w:rFonts w:ascii="Calibri"/>
              </w:rPr>
              <w:t>$2.00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95%" w:type="pct"/>
          </w:tcPr>
          <w:p>
            <w:r>
              <w:rPr>
                <w:sz w:val="22"/>
                <w:rFonts w:ascii="Calibri"/>
              </w:rPr>
              <w:t>All required stationery items are included in the general stationery section. Subscription-based resources (e.g., Mathspace) are listed here; the school will provide access once payment has been completed through Compass.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64 PAGE A4 BINDER BOOK (Media)</w:t>
            </w:r>
          </w:p>
        </w:tc>
        <w:tc>
          <w:tcPr>
            <w:tcW w:w="20%" w:type="pct"/>
          </w:tcPr>
          <w:p>
            <w:pPr>
              <w:jc w:val="right"/>
            </w:pPr>
            <w:r>
              <w:rPr>
                <w:sz w:val="22"/>
                <w:rFonts w:ascii="Calibri"/>
              </w:rPr>
              <w:t>$0.95</w:t>
            </w:r>
          </w:p>
        </w:tc>
      </w:tr>
      <w:tr w:rsidR="00BF41BF" w:rsidTr="00DE168B">
        <w:tc>
          <w:tcPr>
            <w:tcW w:w="80%" w:type="pct"/>
          </w:tcPr>
          <w:p>
            <w:r>
              <w:rPr>
                <w:sz w:val="22"/>
                <w:rFonts w:ascii="Calibri"/>
              </w:rPr>
              <w:t>16GB SD HC MEMORY CARD </w:t>
            </w:r>
          </w:p>
        </w:tc>
        <w:tc>
          <w:tcPr>
            <w:tcW w:w="20%" w:type="pct"/>
          </w:tcPr>
          <w:p>
            <w:pPr>
              <w:jc w:val="right"/>
            </w:pPr>
            <w:r>
              <w:rPr>
                <w:sz w:val="22"/>
                <w:rFonts w:ascii="Calibri"/>
              </w:rPr>
              <w:t>$9.95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A3 VISUAL DIARY 120 PAGE 110GSM (Media and Creative Photography)</w:t>
            </w:r>
          </w:p>
        </w:tc>
        <w:tc>
          <w:tcPr>
            <w:tcW w:w="20%" w:type="pct"/>
          </w:tcPr>
          <w:p>
            <w:pPr>
              <w:jc w:val="right"/>
            </w:pPr>
            <w:r>
              <w:rPr>
                <w:sz w:val="22"/>
                <w:rFonts w:ascii="Calibri"/>
              </w:rPr>
              <w:t>$7.95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Money And Markets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Styles And Performance 1</w:t>
            </w:r>
          </w:p>
        </w:tc>
        <w:tc>
          <w:tcPr>
            <w:tcW w:w="5%" w:type="pct"/>
          </w:tcPr>
          <w:p>
            <w:r>
              <w:t/>
            </w:r>
          </w:p>
        </w:tc>
      </w:tr>
      <w:tr w:rsidR="00BF41BF" w:rsidTr="00DE168B">
        <w:tc>
          <w:tcPr>
            <w:tcW w:w="80%" w:type="pct"/>
          </w:tcPr>
          <w:p>
            <w:r>
              <w:rPr>
                <w:sz w:val="22"/>
                <w:rFonts w:ascii="Calibri"/>
              </w:rPr>
              <w:t>MASTER YOUR THEORY GRADE  2 (purchase if completed lesson 1 – 7 in Grade 1 used in year 9)</w:t>
            </w:r>
          </w:p>
        </w:tc>
        <w:tc>
          <w:tcPr>
            <w:tcW w:w="20%" w:type="pct"/>
          </w:tcPr>
          <w:p>
            <w:pPr>
              <w:jc w:val="right"/>
            </w:pPr>
            <w:r>
              <w:rPr>
                <w:sz w:val="22"/>
                <w:rFonts w:ascii="Calibri"/>
              </w:rPr>
              <w:t>$19.95</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Styles And Performance 2</w:t>
            </w:r>
          </w:p>
        </w:tc>
        <w:tc>
          <w:tcPr>
            <w:tcW w:w="5%" w:type="pct"/>
          </w:tcPr>
          <w:p>
            <w:r>
              <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Education</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rPr>
                <w:sz w:val="22"/>
                <w:rFonts w:ascii="Calibri"/>
              </w:rPr>
              <w:t>Both Outdoor Ed Marine and Outdoor ED Urban require one 64 PAGE A4 BINDER BOOK.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Raiders And Rebels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Students also require the use of the Casio FX calculator listed under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w:t>
            </w:r>
          </w:p>
        </w:tc>
        <w:tc>
          <w:tcPr>
            <w:tcW w:w="5%" w:type="pct"/>
          </w:tcPr>
          <w:p>
            <w:r>
              <w:t/>
            </w:r>
          </w:p>
        </w:tc>
      </w:tr>
      <w:tr w:rsidR="00BF41BF" w:rsidTr="00DE168B">
        <w:tc>
          <w:tcPr>
            <w:tcW w:w="80%" w:type="pct"/>
          </w:tcPr>
          <w:p>
            <w:r>
              <w:rPr>
                <w:sz w:val="22"/>
                <w:rFonts w:ascii="Calibri"/>
              </w:rPr>
              <w:t>SCHOOL ELECTRONIC SUPPLIES INTRODUCTION TO MICROCONTROLLERS 5E</w:t>
            </w:r>
          </w:p>
        </w:tc>
        <w:tc>
          <w:tcPr>
            <w:tcW w:w="20%" w:type="pct"/>
          </w:tcPr>
          <w:p>
            <w:pPr>
              <w:jc w:val="right"/>
            </w:pPr>
            <w:r>
              <w:rPr>
                <w:sz w:val="22"/>
                <w:rFonts w:ascii="Calibri"/>
              </w:rPr>
              <w:t>$36.95</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Wood</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Accelerated VCE: Year 11 Subjects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NELSON VICSCIENCE BIOLOGY VCE UNITS 1&amp;2 STUDENT BOOK + EBOOK 4E (Textbook + eBook)</w:t>
            </w:r>
          </w:p>
        </w:tc>
        <w:tc>
          <w:tcPr>
            <w:tcW w:w="20%" w:type="pct"/>
          </w:tcPr>
          <w:p>
            <w:pPr>
              <w:jc w:val="right"/>
            </w:pPr>
            <w:r>
              <w:rPr>
                <w:sz w:val="22"/>
                <w:rFonts w:ascii="Calibri"/>
              </w:rPr>
              <w:t>$103.95</w:t>
            </w:r>
          </w:p>
        </w:tc>
      </w:tr>
      <w:tr w:rsidR="00BF41BF" w:rsidTr="00DE168B">
        <w:tc>
          <w:tcPr>
            <w:tcW w:w="80%" w:type="pct"/>
          </w:tcPr>
          <w:p>
            <w:pPr>
              <w:ind w:left="360"/>
            </w:pPr>
            <w:r>
              <w:rPr>
                <w:sz w:val="22"/>
                <w:rFonts w:ascii="Calibri"/>
              </w:rPr>
              <w:t>NELSON VICSCIENCE BIOLOGY VCE UNITS 1&amp;2 STUDENT EBOOK 4E (eBook only)</w:t>
            </w:r>
          </w:p>
        </w:tc>
        <w:tc>
          <w:tcPr>
            <w:tcW w:w="20%" w:type="pct"/>
          </w:tcPr>
          <w:p>
            <w:pPr>
              <w:jc w:val="right"/>
            </w:pPr>
            <w:r>
              <w:rPr>
                <w:sz w:val="22"/>
                <w:rFonts w:ascii="Calibri"/>
              </w:rPr>
              <w:t>$60.95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80%" w:type="pct"/>
          </w:tcPr>
          <w:p>
            <w:r>
              <w:rPr>
                <w:sz w:val="22"/>
                <w:rFonts w:ascii="Calibri"/>
              </w:rPr>
              <w:t>JACARANDA KEY CONCEPTS IN VCE BUSINESS MANAGEMENT UNITS 1&amp;2 LEARNON + PRINT 7E (Textbook + eBook)</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80%" w:type="pct"/>
          </w:tcPr>
          <w:p>
            <w:r>
              <w:rPr>
                <w:sz w:val="22"/>
                <w:rFonts w:ascii="Calibri"/>
              </w:rPr>
              <w:t>JACARANDA MATHS QUEST 11 GENERAL MATHEMATICS VCE UNITS 1&amp;2 LEARNON + PRINT 3E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CASIO CLASSPAD CP400 COLOUR CALCULATOR (Extended 2 year warranty included) (Retain for following year)</w:t>
            </w:r>
          </w:p>
        </w:tc>
        <w:tc>
          <w:tcPr>
            <w:tcW w:w="20%" w:type="pct"/>
          </w:tcPr>
          <w:p>
            <w:pPr>
              <w:jc w:val="right"/>
            </w:pPr>
            <w:r>
              <w:rPr>
                <w:sz w:val="22"/>
                <w:rFonts w:ascii="Calibri"/>
              </w:rPr>
              <w:t>$279.95</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IN ADDITION Students need to purchase the online digital subscription to Edrolo. This is payable directly to the college via Compass and access will be provided once charges have been paid.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YHSC Resilience Project Planner - Year 10 (Fee only)</w:t>
            </w:r>
          </w:p>
        </w:tc>
        <w:tc>
          <w:tcPr>
            <w:tcW w:w="20%" w:type="pct"/>
          </w:tcPr>
          <w:p>
            <w:pPr>
              <w:jc w:val="right"/>
            </w:pPr>
            <w:r>
              <w:rPr>
                <w:sz w:val="22"/>
                <w:rFonts w:ascii="Calibri"/>
              </w:rPr>
              <w:t>$27.50</w:t>
            </w:r>
          </w:p>
        </w:tc>
      </w:tr>
      <w:tr w:rsidR="00BF41BF" w:rsidTr="00DE168B">
        <w:tc>
          <w:tcPr>
            <w:tcW w:w="95%" w:type="pct"/>
          </w:tcPr>
          <w:p>
            <w:r>
              <w:rPr>
                <w:sz w:val="22"/>
                <w:rFonts w:ascii="Calibri"/>
              </w:rPr>
              <w:t>YHSC Resilience Project Planner - Year 10 (Fee only) - Please contact the school directly to organise payment.</w:t>
            </w:r>
          </w:p>
        </w:tc>
        <w:tc>
          <w:tcPr>
            <w:tcW w:w="5%" w:type="pct"/>
          </w:tcPr>
          <w:p>
            <w:r>
              <w:t/>
            </w:r>
          </w:p>
        </w:tc>
      </w:tr>
      <w:tr w:rsidR="00BF41BF" w:rsidTr="00DE168B">
        <w:tc>
          <w:tcPr>
            <w:tcW w:w="80%" w:type="pct"/>
          </w:tcPr>
          <w:p>
            <w:r>
              <w:rPr>
                <w:sz w:val="22"/>
                <w:rFonts w:ascii="Calibri"/>
              </w:rPr>
              <w:t>10 64 PAGE A4 BINDER BOOK 8MM RULED WITH MARGIN</w:t>
            </w:r>
          </w:p>
        </w:tc>
        <w:tc>
          <w:tcPr>
            <w:tcW w:w="20%" w:type="pct"/>
          </w:tcPr>
          <w:p>
            <w:pPr>
              <w:jc w:val="right"/>
            </w:pPr>
            <w:r>
              <w:rPr>
                <w:sz w:val="22"/>
                <w:rFonts w:ascii="Calibri"/>
              </w:rPr>
              <w:t>$9.50</w:t>
            </w:r>
          </w:p>
        </w:tc>
      </w:tr>
      <w:tr w:rsidR="00BF41BF" w:rsidTr="00DE168B">
        <w:tc>
          <w:tcPr>
            <w:tcW w:w="80%" w:type="pct"/>
          </w:tcPr>
          <w:p>
            <w:r>
              <w:rPr>
                <w:sz w:val="22"/>
                <w:rFonts w:ascii="Calibri"/>
              </w:rPr>
              <w:t>4 2D RING A4 25MM FOLDER</w:t>
            </w:r>
          </w:p>
        </w:tc>
        <w:tc>
          <w:tcPr>
            <w:tcW w:w="20%" w:type="pct"/>
          </w:tcPr>
          <w:p>
            <w:pPr>
              <w:jc w:val="right"/>
            </w:pPr>
            <w:r>
              <w:rPr>
                <w:sz w:val="22"/>
                <w:rFonts w:ascii="Calibri"/>
              </w:rPr>
              <w:t>$19.80</w:t>
            </w:r>
          </w:p>
        </w:tc>
      </w:tr>
      <w:tr w:rsidR="00BF41BF" w:rsidTr="00DE168B">
        <w:tc>
          <w:tcPr>
            <w:tcW w:w="80%" w:type="pct"/>
          </w:tcPr>
          <w:p>
            <w:r>
              <w:rPr>
                <w:sz w:val="22"/>
                <w:rFonts w:ascii="Calibri"/>
              </w:rPr>
              <w:t>64 PAGE A4 BINDER BOOK (Pastoral care)</w:t>
            </w:r>
          </w:p>
        </w:tc>
        <w:tc>
          <w:tcPr>
            <w:tcW w:w="20%" w:type="pct"/>
          </w:tcPr>
          <w:p>
            <w:pPr>
              <w:jc w:val="right"/>
            </w:pPr>
            <w:r>
              <w:rPr>
                <w:sz w:val="22"/>
                <w:rFonts w:ascii="Calibri"/>
              </w:rPr>
              <w:t>$0.95</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80%" w:type="pct"/>
          </w:tcPr>
          <w:p>
            <w:r>
              <w:rPr>
                <w:sz w:val="22"/>
                <w:rFonts w:ascii="Calibri"/>
              </w:rPr>
              <w:t>500 REFILLS LINED PAPER 7MM</w:t>
            </w:r>
          </w:p>
        </w:tc>
        <w:tc>
          <w:tcPr>
            <w:tcW w:w="20%" w:type="pct"/>
          </w:tcPr>
          <w:p>
            <w:pPr>
              <w:jc w:val="right"/>
            </w:pPr>
            <w:r>
              <w:rPr>
                <w:sz w:val="22"/>
                <w:rFonts w:ascii="Calibri"/>
              </w:rPr>
              <w:t>$17.75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12 BASICS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2 BLUE BALLPOINT PEN</w:t>
            </w:r>
          </w:p>
        </w:tc>
        <w:tc>
          <w:tcPr>
            <w:tcW w:w="20%" w:type="pct"/>
          </w:tcPr>
          <w:p>
            <w:pPr>
              <w:jc w:val="right"/>
            </w:pPr>
            <w:r>
              <w:rPr>
                <w:sz w:val="22"/>
                <w:rFonts w:ascii="Calibri"/>
              </w:rPr>
              <w:t>$0.90</w:t>
            </w:r>
          </w:p>
        </w:tc>
      </w:tr>
      <w:tr w:rsidR="00BF41BF" w:rsidTr="00DE168B">
        <w:tc>
          <w:tcPr>
            <w:tcW w:w="80%" w:type="pct"/>
          </w:tcPr>
          <w:p>
            <w:r>
              <w:rPr>
                <w:sz w:val="22"/>
                <w:rFonts w:ascii="Calibri"/>
              </w:rPr>
              <w:t>2 RED BALLPOINT PEN</w:t>
            </w:r>
          </w:p>
        </w:tc>
        <w:tc>
          <w:tcPr>
            <w:tcW w:w="20%" w:type="pct"/>
          </w:tcPr>
          <w:p>
            <w:pPr>
              <w:jc w:val="right"/>
            </w:pPr>
            <w:r>
              <w:rPr>
                <w:sz w:val="22"/>
                <w:rFonts w:ascii="Calibri"/>
              </w:rPr>
              <w:t>$0.90</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2H PENCIL</w:t>
            </w:r>
          </w:p>
        </w:tc>
        <w:tc>
          <w:tcPr>
            <w:tcW w:w="20%" w:type="pct"/>
          </w:tcPr>
          <w:p>
            <w:pPr>
              <w:jc w:val="right"/>
            </w:pPr>
            <w:r>
              <w:rPr>
                <w:sz w:val="22"/>
                <w:rFonts w:ascii="Calibri"/>
              </w:rPr>
              <w:t>$0.75</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DUO INK/PENCIL </w:t>
            </w:r>
          </w:p>
        </w:tc>
        <w:tc>
          <w:tcPr>
            <w:tcW w:w="20%" w:type="pct"/>
          </w:tcPr>
          <w:p>
            <w:pPr>
              <w:jc w:val="right"/>
            </w:pPr>
            <w:r>
              <w:rPr>
                <w:sz w:val="22"/>
                <w:rFonts w:ascii="Calibri"/>
              </w:rPr>
              <w:t>$1.45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Economy Packs</w:t>
            </w:r>
          </w:p>
        </w:tc>
        <w:tc>
          <w:tcPr>
            <w:tcW w:w="5%" w:type="pct"/>
          </w:tcPr>
          <w:p>
            <w:r>
              <w:t/>
            </w:r>
          </w:p>
        </w:tc>
      </w:tr>
      <w:tr w:rsidR="00BF41BF" w:rsidTr="00DE168B">
        <w:tc>
          <w:tcPr>
            <w:tcW w:w="80%" w:type="pct"/>
          </w:tcPr>
          <w:p>
            <w:r>
              <w:rPr>
                <w:sz w:val="22"/>
                <w:rFonts w:ascii="Calibri"/>
              </w:rPr>
              <w:t>10 96 PAGE A4 BINDER BOOK</w:t>
            </w:r>
          </w:p>
        </w:tc>
        <w:tc>
          <w:tcPr>
            <w:tcW w:w="20%" w:type="pct"/>
          </w:tcPr>
          <w:p>
            <w:pPr>
              <w:jc w:val="right"/>
            </w:pPr>
            <w:r>
              <w:rPr>
                <w:sz w:val="22"/>
                <w:rFonts w:ascii="Calibri"/>
              </w:rPr>
              <w:t>$11.00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BLUE BALLPOINT PEN MEDIUM PACK 12</w:t>
            </w:r>
          </w:p>
        </w:tc>
        <w:tc>
          <w:tcPr>
            <w:tcW w:w="20%" w:type="pct"/>
          </w:tcPr>
          <w:p>
            <w:pPr>
              <w:jc w:val="right"/>
            </w:pPr>
            <w:r>
              <w:rPr>
                <w:sz w:val="22"/>
                <w:rFonts w:ascii="Calibri"/>
              </w:rPr>
              <w:t>$2.85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95%" w:type="pct"/>
          </w:tcPr>
          <w:p>
            <w:r>
              <w:rPr>
                <w:sz w:val="22"/>
                <w:rFonts w:ascii="Calibri"/>
              </w:rPr>
              <w:t>* This is in addition to other stationery listed. Economy packs are optional.</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Yarra Hills Secondary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872edaba85064a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