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f42d58853af242dc">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Materials &amp; Systems</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BHS Design Materials/Systems Workbook 2026 - Year 8 (Fee only)</w:t>
            </w:r>
          </w:p>
        </w:tc>
        <w:tc>
          <w:tcPr>
            <w:tcW w:w="20%" w:type="pct"/>
          </w:tcPr>
          <w:p>
            <w:pPr>
              <w:jc w:val="right"/>
            </w:pPr>
            <w:r>
              <w:rPr>
                <w:sz w:val="22"/>
                <w:rFonts w:ascii="Calibri"/>
              </w:rPr>
              <w:t>$14.50</w:t>
            </w:r>
          </w:p>
        </w:tc>
      </w:tr>
      <w:tr w:rsidR="00BF41BF" w:rsidTr="00DE168B">
        <w:tc>
          <w:tcPr>
            <w:tcW w:w="95%" w:type="pct"/>
          </w:tcPr>
          <w:p>
            <w:r>
              <w:rPr>
                <w:sz w:val="22"/>
                <w:rFonts w:ascii="Calibri"/>
              </w:rPr>
              <w:t>BHS Design Materials/Systems Workbook 2026 -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EAL Support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should purchase a bilingual dictionary in English and their first language which will be retained for future years.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STUDENT GUIDE TO WRITING BETTER SENTENCES IN THE ENGLISH CLASSROOM BOOK 1 (Retain from Year 7 and for future years)</w:t>
            </w:r>
          </w:p>
        </w:tc>
        <w:tc>
          <w:tcPr>
            <w:tcW w:w="20%" w:type="pct"/>
          </w:tcPr>
          <w:p>
            <w:pPr>
              <w:jc w:val="right"/>
            </w:pPr>
            <w:r>
              <w:rPr>
                <w:sz w:val="22"/>
                <w:rFonts w:ascii="Calibri"/>
              </w:rPr>
              <w:t>$57.95</w:t>
            </w:r>
          </w:p>
        </w:tc>
      </w:tr>
      <w:tr w:rsidR="00BF41BF" w:rsidTr="00DE168B">
        <w:tc>
          <w:tcPr>
            <w:tcW w:w="80%" w:type="pct"/>
          </w:tcPr>
          <w:p>
            <w:r>
              <w:rPr>
                <w:sz w:val="22"/>
                <w:rFonts w:ascii="Calibri"/>
              </w:rPr>
              <w:t>THE HUNGER GAMES BOOK #1 - SUZANNE COLLINS</w:t>
            </w:r>
          </w:p>
        </w:tc>
        <w:tc>
          <w:tcPr>
            <w:tcW w:w="20%" w:type="pct"/>
          </w:tcPr>
          <w:p>
            <w:pPr>
              <w:jc w:val="right"/>
            </w:pPr>
            <w:r>
              <w:rPr>
                <w:sz w:val="22"/>
                <w:rFonts w:ascii="Calibri"/>
              </w:rPr>
              <w:t>$22.99</w:t>
            </w:r>
          </w:p>
        </w:tc>
      </w:tr>
      <w:tr w:rsidR="00BF41BF" w:rsidTr="00DE168B">
        <w:tc>
          <w:tcPr>
            <w:tcW w:w="80%" w:type="pct"/>
          </w:tcPr>
          <w:p>
            <w:r>
              <w:rPr>
                <w:sz w:val="22"/>
                <w:rFonts w:ascii="Calibri"/>
              </w:rPr>
              <w:t>THE INHERITANCE GAMES - JENNIFER LYNN BARNES (NEW FOR 2026)</w:t>
            </w:r>
          </w:p>
        </w:tc>
        <w:tc>
          <w:tcPr>
            <w:tcW w:w="20%" w:type="pct"/>
          </w:tcPr>
          <w:p>
            <w:pPr>
              <w:jc w:val="right"/>
            </w:pPr>
            <w:r>
              <w:rPr>
                <w:sz w:val="22"/>
                <w:rFonts w:ascii="Calibri"/>
              </w:rPr>
              <w:t>$19.99</w:t>
            </w:r>
          </w:p>
        </w:tc>
      </w:tr>
      <w:tr w:rsidR="00BF41BF" w:rsidTr="00DE168B">
        <w:tc>
          <w:tcPr>
            <w:tcW w:w="80%" w:type="pct"/>
          </w:tcPr>
          <w:p>
            <w:r>
              <w:rPr>
                <w:sz w:val="22"/>
                <w:rFonts w:ascii="Calibri"/>
              </w:rPr>
              <w:t>AUSTRALIAN CONCISE OXFORD DICTIONARY HARDBACK 6E (Retain from Year 7 and for future years)</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TAPIS VOLANT 1: STUDENT BOOK + WORKBOOK PACK 5E (NEW EDITION FOR 2026) (Retain for following year)</w:t>
            </w:r>
          </w:p>
        </w:tc>
        <w:tc>
          <w:tcPr>
            <w:tcW w:w="20%" w:type="pct"/>
          </w:tcPr>
          <w:p>
            <w:pPr>
              <w:jc w:val="right"/>
            </w:pPr>
            <w:r>
              <w:rPr>
                <w:sz w:val="22"/>
                <w:rFonts w:ascii="Calibri"/>
              </w:rPr>
              <w:t>$99.95</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Education Perfect - French Year 8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French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1 GERMAN STUDENT + EBOOK + WORKBOOK PACK (Retain from previous year)</w:t>
            </w:r>
          </w:p>
        </w:tc>
        <w:tc>
          <w:tcPr>
            <w:tcW w:w="20%" w:type="pct"/>
          </w:tcPr>
          <w:p>
            <w:pPr>
              <w:jc w:val="right"/>
            </w:pPr>
            <w:r>
              <w:rPr>
                <w:sz w:val="22"/>
                <w:rFonts w:ascii="Calibri"/>
              </w:rPr>
              <w:t>$90.95</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Education Perfect - German Year 8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German Year 8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8 VICTORIAN CURRICULUM LEARNON 3E (eBook only)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8 VICTORIAN CURRICULUM LEARNON TEXTBOOK 3E (Textbook)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95%" w:type="pct"/>
          </w:tcPr>
          <w:p>
            <w:r>
              <w:rPr>
                <w:sz w:val="22"/>
                <w:rFonts w:ascii="Calibri"/>
              </w:rPr>
              <w:t>(If you already have a multimedia headset then you can use this for Maths Pathway, otherwise you will need to purchase one).</w:t>
            </w:r>
          </w:p>
        </w:tc>
        <w:tc>
          <w:tcPr>
            <w:tcW w:w="5%" w:type="pct"/>
          </w:tcPr>
          <w:p>
            <w:r>
              <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rPr>
                <w:sz w:val="22"/>
                <w:rFonts w:ascii="Calibri"/>
              </w:rPr>
              <w:t>- OR - Another scientific calculator but NOT one with a solver function</w:t>
            </w:r>
          </w:p>
        </w:tc>
        <w:tc>
          <w:tcPr>
            <w:tcW w:w="5%" w:type="pct"/>
          </w:tcPr>
          <w:p>
            <w:r>
              <w:t/>
            </w:r>
          </w:p>
        </w:tc>
      </w:tr>
      <w:tr w:rsidR="00BF41BF" w:rsidTr="00DE168B">
        <w:tc>
          <w:tcPr>
            <w:tcW w:w="80%" w:type="pct"/>
          </w:tcPr>
          <w:p>
            <w:r>
              <w:rPr>
                <w:sz w:val="22"/>
                <w:rFonts w:ascii="Calibri"/>
              </w:rPr>
              <w:t>Maths Pathway Digital Subscription - Year 8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2 128 PAGE A4 BINDER BOOK 8MM RULED WITH MARGIN</w:t>
            </w:r>
          </w:p>
        </w:tc>
        <w:tc>
          <w:tcPr>
            <w:tcW w:w="20%" w:type="pct"/>
          </w:tcPr>
          <w:p>
            <w:pPr>
              <w:jc w:val="right"/>
            </w:pPr>
            <w:r>
              <w:rPr>
                <w:sz w:val="22"/>
                <w:rFonts w:ascii="Calibri"/>
              </w:rPr>
              <w:t>$3.30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80%" w:type="pct"/>
          </w:tcPr>
          <w:p>
            <w:r>
              <w:rPr>
                <w:sz w:val="22"/>
                <w:rFonts w:ascii="Calibri"/>
              </w:rPr>
              <w:t>Logbook of Experiments 2026 - Year 8 (Fee only)</w:t>
            </w:r>
          </w:p>
        </w:tc>
        <w:tc>
          <w:tcPr>
            <w:tcW w:w="20%" w:type="pct"/>
          </w:tcPr>
          <w:p>
            <w:pPr>
              <w:jc w:val="right"/>
            </w:pPr>
            <w:r>
              <w:rPr>
                <w:sz w:val="22"/>
                <w:rFonts w:ascii="Calibri"/>
              </w:rPr>
              <w:t>$8.00</w:t>
            </w:r>
          </w:p>
        </w:tc>
      </w:tr>
      <w:tr w:rsidR="00BF41BF" w:rsidTr="00DE168B">
        <w:tc>
          <w:tcPr>
            <w:tcW w:w="95%" w:type="pct"/>
          </w:tcPr>
          <w:p>
            <w:r>
              <w:rPr>
                <w:sz w:val="22"/>
                <w:rFonts w:ascii="Calibri"/>
              </w:rPr>
              <w:t>Logbook of Experiments 2026 -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10 96 PAGE A4 BINDER BOOK 8MM RULED WITH MARGIN</w:t>
            </w:r>
          </w:p>
        </w:tc>
        <w:tc>
          <w:tcPr>
            <w:tcW w:w="20%" w:type="pct"/>
          </w:tcPr>
          <w:p>
            <w:pPr>
              <w:jc w:val="right"/>
            </w:pPr>
            <w:r>
              <w:rPr>
                <w:sz w:val="22"/>
                <w:rFonts w:ascii="Calibri"/>
              </w:rPr>
              <w:t>$11.00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8 50 REFILLS LINED PAPER A4 7MM (Required for English, Health &amp; PE, Maths)</w:t>
            </w:r>
          </w:p>
        </w:tc>
        <w:tc>
          <w:tcPr>
            <w:tcW w:w="20%" w:type="pct"/>
          </w:tcPr>
          <w:p>
            <w:pPr>
              <w:jc w:val="right"/>
            </w:pPr>
            <w:r>
              <w:rPr>
                <w:sz w:val="22"/>
                <w:rFonts w:ascii="Calibri"/>
              </w:rPr>
              <w:t>$18.80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 Technology)</w:t>
            </w:r>
          </w:p>
        </w:tc>
        <w:tc>
          <w:tcPr>
            <w:tcW w:w="20%" w:type="pct"/>
          </w:tcPr>
          <w:p>
            <w:pPr>
              <w:jc w:val="right"/>
            </w:pPr>
            <w:r>
              <w:rPr>
                <w:sz w:val="22"/>
                <w:rFonts w:ascii="Calibri"/>
              </w:rPr>
              <w:t>$0.65</w:t>
            </w:r>
          </w:p>
        </w:tc>
      </w:tr>
      <w:tr w:rsidR="00BF41BF" w:rsidTr="00DE168B">
        <w:tc>
          <w:tcPr>
            <w:tcW w:w="80%" w:type="pct"/>
          </w:tcPr>
          <w:p>
            <w:r>
              <w:rPr>
                <w:sz w:val="22"/>
                <w:rFonts w:ascii="Calibri"/>
              </w:rPr>
              <w:t>3 PENCIL HB ESSENTIAL</w:t>
            </w:r>
          </w:p>
        </w:tc>
        <w:tc>
          <w:tcPr>
            <w:tcW w:w="20%" w:type="pct"/>
          </w:tcPr>
          <w:p>
            <w:pPr>
              <w:jc w:val="right"/>
            </w:pPr>
            <w:r>
              <w:rPr>
                <w:sz w:val="22"/>
                <w:rFonts w:ascii="Calibri"/>
              </w:rPr>
              <w:t>$1.95</w:t>
            </w:r>
          </w:p>
        </w:tc>
      </w:tr>
      <w:tr w:rsidR="00BF41BF" w:rsidTr="00DE168B">
        <w:tc>
          <w:tcPr>
            <w:tcW w:w="80%" w:type="pct"/>
          </w:tcPr>
          <w:p>
            <w:r>
              <w:rPr>
                <w:sz w:val="22"/>
                <w:rFonts w:ascii="Calibri"/>
              </w:rPr>
              <w:t>12 MICADOR COLOUR PENCILS MSHIELD (Required for General Use) (Not required if Art pencils are purchased)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French, German, Humanities, Health &amp; PE, Maths, Technology)</w:t>
            </w:r>
          </w:p>
        </w:tc>
        <w:tc>
          <w:tcPr>
            <w:tcW w:w="20%" w:type="pct"/>
          </w:tcPr>
          <w:p>
            <w:pPr>
              <w:jc w:val="right"/>
            </w:pPr>
            <w:r>
              <w:rPr>
                <w:sz w:val="22"/>
                <w:rFonts w:ascii="Calibri"/>
              </w:rPr>
              <w:t>$2.85</w:t>
            </w:r>
          </w:p>
        </w:tc>
      </w:tr>
      <w:tr w:rsidR="00BF41BF" w:rsidTr="00DE168B">
        <w:tc>
          <w:tcPr>
            <w:tcW w:w="80%" w:type="pct"/>
          </w:tcPr>
          <w:p>
            <w:r>
              <w:rPr>
                <w:sz w:val="22"/>
                <w:rFonts w:ascii="Calibri"/>
              </w:rPr>
              <w:t>RULER PLASTIC 40 CM CLEAR</w:t>
            </w:r>
          </w:p>
        </w:tc>
        <w:tc>
          <w:tcPr>
            <w:tcW w:w="20%" w:type="pct"/>
          </w:tcPr>
          <w:p>
            <w:pPr>
              <w:jc w:val="right"/>
            </w:pPr>
            <w:r>
              <w:rPr>
                <w:sz w:val="22"/>
                <w:rFonts w:ascii="Calibri"/>
              </w:rPr>
              <w:t>$1.50</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f42d58853af242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